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00224">
      <w:pPr>
        <w:spacing w:line="500" w:lineRule="exac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附件2:</w:t>
      </w:r>
    </w:p>
    <w:p w14:paraId="31FDCFC4">
      <w:pPr>
        <w:spacing w:line="500" w:lineRule="exact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1C09A9C0">
      <w:pPr>
        <w:spacing w:line="240" w:lineRule="auto"/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2026年“</w:t>
      </w: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36"/>
        </w:rPr>
        <w:t>武汉好案例”基础教育评价</w:t>
      </w:r>
    </w:p>
    <w:p w14:paraId="4D3EDD0D">
      <w:pPr>
        <w:spacing w:line="240" w:lineRule="auto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优秀案例（义务教育段）统计表</w:t>
      </w:r>
    </w:p>
    <w:p w14:paraId="7D5D3C15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区、直属学校(盖章):</w:t>
      </w:r>
    </w:p>
    <w:p w14:paraId="17BF31A6">
      <w:pPr>
        <w:rPr>
          <w:rFonts w:ascii="宋体" w:hAnsi="宋体"/>
          <w:sz w:val="24"/>
        </w:rPr>
      </w:pPr>
    </w:p>
    <w:tbl>
      <w:tblPr>
        <w:tblStyle w:val="2"/>
        <w:tblW w:w="51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983"/>
        <w:gridCol w:w="1333"/>
        <w:gridCol w:w="2102"/>
        <w:gridCol w:w="2212"/>
        <w:gridCol w:w="1232"/>
      </w:tblGrid>
      <w:tr w14:paraId="70A6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1" w:type="pct"/>
            <w:vAlign w:val="center"/>
          </w:tcPr>
          <w:p w14:paraId="72BD74AE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565" w:type="pct"/>
            <w:vAlign w:val="center"/>
          </w:tcPr>
          <w:p w14:paraId="020EF993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区属</w:t>
            </w:r>
          </w:p>
        </w:tc>
        <w:tc>
          <w:tcPr>
            <w:tcW w:w="766" w:type="pct"/>
            <w:vAlign w:val="center"/>
          </w:tcPr>
          <w:p w14:paraId="640E8697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案例单位</w:t>
            </w:r>
          </w:p>
        </w:tc>
        <w:tc>
          <w:tcPr>
            <w:tcW w:w="1208" w:type="pct"/>
            <w:vAlign w:val="center"/>
          </w:tcPr>
          <w:p w14:paraId="52A2EC3C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案例名称</w:t>
            </w:r>
          </w:p>
        </w:tc>
        <w:tc>
          <w:tcPr>
            <w:tcW w:w="1271" w:type="pct"/>
            <w:vAlign w:val="center"/>
          </w:tcPr>
          <w:p w14:paraId="4449D2CC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核心成员</w:t>
            </w:r>
          </w:p>
        </w:tc>
        <w:tc>
          <w:tcPr>
            <w:tcW w:w="708" w:type="pct"/>
            <w:vAlign w:val="center"/>
          </w:tcPr>
          <w:p w14:paraId="2657B706"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查重结果</w:t>
            </w:r>
          </w:p>
        </w:tc>
      </w:tr>
      <w:tr w14:paraId="5C9FE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1" w:type="pct"/>
            <w:vAlign w:val="center"/>
          </w:tcPr>
          <w:p w14:paraId="129055D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565" w:type="pct"/>
            <w:vAlign w:val="center"/>
          </w:tcPr>
          <w:p w14:paraId="07B39D46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66" w:type="pct"/>
            <w:vAlign w:val="center"/>
          </w:tcPr>
          <w:p w14:paraId="2700454F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8" w:type="pct"/>
            <w:vAlign w:val="center"/>
          </w:tcPr>
          <w:p w14:paraId="3198F2C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1" w:type="pct"/>
            <w:vAlign w:val="center"/>
          </w:tcPr>
          <w:p w14:paraId="0819862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8" w:type="pct"/>
            <w:vAlign w:val="center"/>
          </w:tcPr>
          <w:p w14:paraId="05DA41F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C683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1" w:type="pct"/>
            <w:vAlign w:val="center"/>
          </w:tcPr>
          <w:p w14:paraId="25861C2F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65" w:type="pct"/>
            <w:vAlign w:val="center"/>
          </w:tcPr>
          <w:p w14:paraId="576F9839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66" w:type="pct"/>
            <w:vAlign w:val="center"/>
          </w:tcPr>
          <w:p w14:paraId="0A8C4F0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8" w:type="pct"/>
            <w:vAlign w:val="center"/>
          </w:tcPr>
          <w:p w14:paraId="596F392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1" w:type="pct"/>
            <w:vAlign w:val="center"/>
          </w:tcPr>
          <w:p w14:paraId="2EFDB1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8" w:type="pct"/>
            <w:vAlign w:val="center"/>
          </w:tcPr>
          <w:p w14:paraId="141D5EE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7E4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1" w:type="pct"/>
            <w:vAlign w:val="center"/>
          </w:tcPr>
          <w:p w14:paraId="255F7DDE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65" w:type="pct"/>
            <w:vAlign w:val="center"/>
          </w:tcPr>
          <w:p w14:paraId="5AB17D8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66" w:type="pct"/>
            <w:vAlign w:val="center"/>
          </w:tcPr>
          <w:p w14:paraId="4F280CE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8" w:type="pct"/>
            <w:vAlign w:val="center"/>
          </w:tcPr>
          <w:p w14:paraId="6895B08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1" w:type="pct"/>
            <w:vAlign w:val="center"/>
          </w:tcPr>
          <w:p w14:paraId="7561D5AD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8" w:type="pct"/>
            <w:vAlign w:val="center"/>
          </w:tcPr>
          <w:p w14:paraId="3CC25AB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237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1" w:type="pct"/>
            <w:vAlign w:val="center"/>
          </w:tcPr>
          <w:p w14:paraId="71E07EC7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65" w:type="pct"/>
            <w:vAlign w:val="center"/>
          </w:tcPr>
          <w:p w14:paraId="247277C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66" w:type="pct"/>
            <w:vAlign w:val="center"/>
          </w:tcPr>
          <w:p w14:paraId="67180CE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8" w:type="pct"/>
            <w:vAlign w:val="center"/>
          </w:tcPr>
          <w:p w14:paraId="72D59D8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1" w:type="pct"/>
            <w:vAlign w:val="center"/>
          </w:tcPr>
          <w:p w14:paraId="615D7B8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8" w:type="pct"/>
            <w:vAlign w:val="center"/>
          </w:tcPr>
          <w:p w14:paraId="170768E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28BF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1" w:type="pct"/>
            <w:vAlign w:val="center"/>
          </w:tcPr>
          <w:p w14:paraId="494A9676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565" w:type="pct"/>
            <w:vAlign w:val="center"/>
          </w:tcPr>
          <w:p w14:paraId="29D3B15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66" w:type="pct"/>
            <w:vAlign w:val="center"/>
          </w:tcPr>
          <w:p w14:paraId="58B3E2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8" w:type="pct"/>
            <w:vAlign w:val="center"/>
          </w:tcPr>
          <w:p w14:paraId="10DD46B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1" w:type="pct"/>
            <w:vAlign w:val="center"/>
          </w:tcPr>
          <w:p w14:paraId="59EC65BE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8" w:type="pct"/>
            <w:vAlign w:val="center"/>
          </w:tcPr>
          <w:p w14:paraId="37D2554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A25C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1" w:type="pct"/>
            <w:vAlign w:val="center"/>
          </w:tcPr>
          <w:p w14:paraId="732B7C92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565" w:type="pct"/>
            <w:vAlign w:val="center"/>
          </w:tcPr>
          <w:p w14:paraId="10655A3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66" w:type="pct"/>
            <w:vAlign w:val="center"/>
          </w:tcPr>
          <w:p w14:paraId="3DD4AC75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8" w:type="pct"/>
            <w:vAlign w:val="center"/>
          </w:tcPr>
          <w:p w14:paraId="2CC1F111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1" w:type="pct"/>
            <w:vAlign w:val="center"/>
          </w:tcPr>
          <w:p w14:paraId="20006ACB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8" w:type="pct"/>
            <w:vAlign w:val="center"/>
          </w:tcPr>
          <w:p w14:paraId="2BC68238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110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81" w:type="pct"/>
            <w:vAlign w:val="center"/>
          </w:tcPr>
          <w:p w14:paraId="6F60CD45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65" w:type="pct"/>
            <w:vAlign w:val="center"/>
          </w:tcPr>
          <w:p w14:paraId="3B4EB76A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66" w:type="pct"/>
            <w:vAlign w:val="center"/>
          </w:tcPr>
          <w:p w14:paraId="49DA7E34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8" w:type="pct"/>
            <w:vAlign w:val="center"/>
          </w:tcPr>
          <w:p w14:paraId="028A3A90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1" w:type="pct"/>
            <w:vAlign w:val="center"/>
          </w:tcPr>
          <w:p w14:paraId="3E680EAC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08" w:type="pct"/>
            <w:vAlign w:val="center"/>
          </w:tcPr>
          <w:p w14:paraId="208C6B03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6015622F">
      <w:pPr>
        <w:rPr>
          <w:rFonts w:ascii="仿宋_GB2312" w:hAnsi="宋体" w:eastAsia="仿宋_GB2312"/>
          <w:sz w:val="24"/>
          <w:szCs w:val="28"/>
        </w:rPr>
      </w:pPr>
      <w:r>
        <w:rPr>
          <w:rFonts w:hint="eastAsia" w:ascii="仿宋_GB2312" w:hAnsi="宋体" w:eastAsia="仿宋_GB2312"/>
          <w:sz w:val="24"/>
          <w:szCs w:val="28"/>
        </w:rPr>
        <w:t>注：</w:t>
      </w:r>
      <w:r>
        <w:rPr>
          <w:rFonts w:ascii="仿宋_GB2312" w:hAnsi="宋体" w:eastAsia="仿宋_GB2312"/>
          <w:sz w:val="24"/>
          <w:szCs w:val="28"/>
        </w:rPr>
        <w:t>请</w:t>
      </w:r>
      <w:r>
        <w:rPr>
          <w:rFonts w:hint="eastAsia" w:ascii="仿宋_GB2312" w:hAnsi="宋体" w:eastAsia="仿宋_GB2312"/>
          <w:sz w:val="24"/>
          <w:szCs w:val="28"/>
        </w:rPr>
        <w:t>准确核对统计表</w:t>
      </w:r>
      <w:r>
        <w:rPr>
          <w:rFonts w:ascii="仿宋_GB2312" w:hAnsi="宋体" w:eastAsia="仿宋_GB2312"/>
          <w:sz w:val="24"/>
          <w:szCs w:val="28"/>
        </w:rPr>
        <w:t>中</w:t>
      </w:r>
      <w:r>
        <w:rPr>
          <w:rFonts w:hint="eastAsia" w:ascii="仿宋_GB2312" w:hAnsi="宋体" w:eastAsia="仿宋_GB2312"/>
          <w:sz w:val="24"/>
          <w:szCs w:val="28"/>
        </w:rPr>
        <w:t>案例单位</w:t>
      </w:r>
      <w:r>
        <w:rPr>
          <w:rFonts w:ascii="仿宋_GB2312" w:hAnsi="宋体" w:eastAsia="仿宋_GB2312"/>
          <w:sz w:val="24"/>
          <w:szCs w:val="28"/>
        </w:rPr>
        <w:t>、名称、核心成员</w:t>
      </w:r>
      <w:r>
        <w:rPr>
          <w:rFonts w:hint="eastAsia" w:ascii="仿宋_GB2312" w:hAnsi="宋体" w:eastAsia="仿宋_GB2312"/>
          <w:sz w:val="24"/>
          <w:szCs w:val="28"/>
        </w:rPr>
        <w:t>等</w:t>
      </w:r>
      <w:r>
        <w:rPr>
          <w:rFonts w:ascii="仿宋_GB2312" w:hAnsi="宋体" w:eastAsia="仿宋_GB2312"/>
          <w:sz w:val="24"/>
          <w:szCs w:val="28"/>
        </w:rPr>
        <w:t>信息，</w:t>
      </w:r>
      <w:r>
        <w:rPr>
          <w:rFonts w:hint="eastAsia" w:ascii="仿宋_GB2312" w:hAnsi="宋体" w:eastAsia="仿宋_GB2312"/>
          <w:sz w:val="24"/>
          <w:szCs w:val="28"/>
        </w:rPr>
        <w:t>确保</w:t>
      </w:r>
      <w:r>
        <w:rPr>
          <w:rFonts w:ascii="仿宋_GB2312" w:hAnsi="宋体" w:eastAsia="仿宋_GB2312"/>
          <w:sz w:val="24"/>
          <w:szCs w:val="28"/>
        </w:rPr>
        <w:t>与</w:t>
      </w:r>
      <w:r>
        <w:rPr>
          <w:rFonts w:hint="eastAsia" w:ascii="仿宋_GB2312" w:hAnsi="宋体" w:eastAsia="仿宋_GB2312"/>
          <w:sz w:val="24"/>
          <w:szCs w:val="28"/>
        </w:rPr>
        <w:t>申报表</w:t>
      </w:r>
      <w:r>
        <w:rPr>
          <w:rFonts w:ascii="仿宋_GB2312" w:hAnsi="宋体" w:eastAsia="仿宋_GB2312"/>
          <w:sz w:val="24"/>
          <w:szCs w:val="28"/>
        </w:rPr>
        <w:t>一致。</w:t>
      </w:r>
      <w:r>
        <w:rPr>
          <w:rFonts w:hint="eastAsia" w:ascii="仿宋_GB2312" w:hAnsi="宋体" w:eastAsia="仿宋_GB2312"/>
          <w:sz w:val="24"/>
          <w:szCs w:val="28"/>
        </w:rPr>
        <w:t>查重</w:t>
      </w:r>
      <w:r>
        <w:rPr>
          <w:rFonts w:ascii="仿宋_GB2312" w:hAnsi="宋体" w:eastAsia="仿宋_GB2312"/>
          <w:sz w:val="24"/>
          <w:szCs w:val="28"/>
        </w:rPr>
        <w:t>结果请附相应查重报告。</w:t>
      </w:r>
    </w:p>
    <w:p w14:paraId="12C918F9">
      <w:pPr>
        <w:widowControl/>
        <w:jc w:val="left"/>
        <w:rPr>
          <w:rFonts w:hint="eastAsia" w:ascii="仿宋_GB2312" w:hAnsi="宋体" w:eastAsia="仿宋_GB2312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DD"/>
    <w:rsid w:val="002B6CDD"/>
    <w:rsid w:val="003D57D0"/>
    <w:rsid w:val="009D4BFC"/>
    <w:rsid w:val="229B6ACC"/>
    <w:rsid w:val="681B474E"/>
    <w:rsid w:val="7921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117</Words>
  <Characters>122</Characters>
  <Lines>1</Lines>
  <Paragraphs>1</Paragraphs>
  <TotalTime>4</TotalTime>
  <ScaleCrop>false</ScaleCrop>
  <LinksUpToDate>false</LinksUpToDate>
  <CharactersWithSpaces>122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2024-06-12T07:26:00Z</dcterms:created>
  <dc:creator>USER-</dc:creator>
  <cp:lastModifiedBy>可编辑（我）</cp:lastModifiedBy>
  <dcterms:modified xsi:type="dcterms:W3CDTF">2026-07-06T08:35:13Z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eyJoZGlkIjoiZTQ4ODQwNThiYTg4YTBlNDhkZDRmNGNiNWM5NWE1YzAiLCJ1c2VySWQiOiIxMTI4NzMzMDkxIn0=</vt:lpwstr>
  </property>
  <property fmtid="{D5CDD505-2E9C-101B-9397-08002B2CF9AE}" pid="3" name="KSOProductBuildVer">
    <vt:lpwstr>2052-12.1.0.26895</vt:lpwstr>
  </property>
  <property fmtid="{D5CDD505-2E9C-101B-9397-08002B2CF9AE}" pid="4" name="ICV">
    <vt:lpwstr>333BE13BB0184A4D987DF02D97B68C2A_12</vt:lpwstr>
  </property>
</Properties>
</file>